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BA897" w14:textId="77777777" w:rsidR="007E54CD" w:rsidRPr="008E056A" w:rsidRDefault="007E54CD" w:rsidP="005E1A85">
      <w:pPr>
        <w:jc w:val="center"/>
        <w:rPr>
          <w:b/>
          <w:sz w:val="8"/>
          <w:szCs w:val="8"/>
        </w:rPr>
      </w:pPr>
    </w:p>
    <w:p w14:paraId="2B7F5AD6" w14:textId="145C7225" w:rsidR="00E53EC6" w:rsidRPr="00966233" w:rsidRDefault="00B87F3F" w:rsidP="007E54CD">
      <w:pPr>
        <w:spacing w:after="0" w:line="240" w:lineRule="atLeast"/>
        <w:jc w:val="center"/>
        <w:rPr>
          <w:b/>
          <w:sz w:val="26"/>
          <w:szCs w:val="26"/>
        </w:rPr>
      </w:pPr>
      <w:r w:rsidRPr="00966233">
        <w:rPr>
          <w:b/>
          <w:sz w:val="26"/>
          <w:szCs w:val="26"/>
        </w:rPr>
        <w:t xml:space="preserve">Scheda di Sintesi </w:t>
      </w:r>
      <w:r w:rsidR="005E1A85" w:rsidRPr="00966233">
        <w:rPr>
          <w:b/>
          <w:sz w:val="26"/>
          <w:szCs w:val="26"/>
        </w:rPr>
        <w:t>Avviso 05</w:t>
      </w:r>
      <w:r w:rsidR="004C0BF9">
        <w:rPr>
          <w:b/>
          <w:sz w:val="26"/>
          <w:szCs w:val="26"/>
        </w:rPr>
        <w:t>-</w:t>
      </w:r>
      <w:r w:rsidR="005E1A85" w:rsidRPr="00966233">
        <w:rPr>
          <w:b/>
          <w:sz w:val="26"/>
          <w:szCs w:val="26"/>
        </w:rPr>
        <w:t>20</w:t>
      </w:r>
      <w:r w:rsidR="00EC41C8">
        <w:rPr>
          <w:b/>
          <w:sz w:val="26"/>
          <w:szCs w:val="26"/>
        </w:rPr>
        <w:t>2</w:t>
      </w:r>
      <w:r w:rsidR="00322FC8">
        <w:rPr>
          <w:b/>
          <w:sz w:val="26"/>
          <w:szCs w:val="26"/>
        </w:rPr>
        <w:t>4</w:t>
      </w:r>
      <w:r w:rsidR="005E1A85" w:rsidRPr="00966233">
        <w:rPr>
          <w:b/>
          <w:sz w:val="26"/>
          <w:szCs w:val="26"/>
        </w:rPr>
        <w:t xml:space="preserve"> per i</w:t>
      </w:r>
      <w:r w:rsidR="004C0BF9">
        <w:rPr>
          <w:b/>
          <w:sz w:val="26"/>
          <w:szCs w:val="26"/>
        </w:rPr>
        <w:t>l</w:t>
      </w:r>
      <w:r w:rsidR="005E1A85" w:rsidRPr="00966233">
        <w:rPr>
          <w:b/>
          <w:sz w:val="26"/>
          <w:szCs w:val="26"/>
        </w:rPr>
        <w:t xml:space="preserve"> Sistem</w:t>
      </w:r>
      <w:r w:rsidR="004C0BF9">
        <w:rPr>
          <w:b/>
          <w:sz w:val="26"/>
          <w:szCs w:val="26"/>
        </w:rPr>
        <w:t>a</w:t>
      </w:r>
      <w:r w:rsidR="005E1A85" w:rsidRPr="00966233">
        <w:rPr>
          <w:b/>
          <w:sz w:val="26"/>
          <w:szCs w:val="26"/>
        </w:rPr>
        <w:t xml:space="preserve"> di Imprese</w:t>
      </w:r>
      <w:r w:rsidR="00311B08" w:rsidRPr="00966233">
        <w:rPr>
          <w:b/>
          <w:sz w:val="26"/>
          <w:szCs w:val="26"/>
        </w:rPr>
        <w:t xml:space="preserve"> SDI</w:t>
      </w:r>
    </w:p>
    <w:p w14:paraId="4FCC7D23" w14:textId="77777777" w:rsidR="005E1A85" w:rsidRPr="00FB0526" w:rsidRDefault="005E1A85" w:rsidP="007E54CD">
      <w:pPr>
        <w:spacing w:after="0" w:line="240" w:lineRule="atLeast"/>
        <w:jc w:val="center"/>
        <w:rPr>
          <w:b/>
          <w:sz w:val="12"/>
          <w:szCs w:val="12"/>
        </w:rPr>
      </w:pPr>
    </w:p>
    <w:p w14:paraId="72E986CC" w14:textId="77F94C05" w:rsidR="00966233" w:rsidRDefault="00966233" w:rsidP="00FE2A60">
      <w:pPr>
        <w:spacing w:after="0" w:line="320" w:lineRule="atLeast"/>
        <w:jc w:val="both"/>
      </w:pPr>
      <w:r>
        <w:t>L’Avviso consen</w:t>
      </w:r>
      <w:r w:rsidR="00AE5E44">
        <w:t>te</w:t>
      </w:r>
      <w:r>
        <w:t xml:space="preserve"> al Delegato di gestire le richieste formative avendo a disposizione un budget totale</w:t>
      </w:r>
      <w:r w:rsidR="002151E5">
        <w:t xml:space="preserve"> annuale</w:t>
      </w:r>
      <w:r>
        <w:t xml:space="preserve"> dato dalla somma de</w:t>
      </w:r>
      <w:r w:rsidR="00322FC8">
        <w:t>l</w:t>
      </w:r>
      <w:r>
        <w:t xml:space="preserve"> </w:t>
      </w:r>
      <w:r w:rsidR="002151E5">
        <w:t>versat</w:t>
      </w:r>
      <w:r w:rsidR="00322FC8">
        <w:t>o</w:t>
      </w:r>
      <w:r w:rsidR="009844C2">
        <w:t xml:space="preserve"> 0,30%</w:t>
      </w:r>
      <w:r>
        <w:t xml:space="preserve"> delle singole aziende appartenenti al</w:t>
      </w:r>
      <w:r w:rsidR="009844C2">
        <w:t>l</w:t>
      </w:r>
      <w:r>
        <w:t>o Studio.</w:t>
      </w:r>
    </w:p>
    <w:p w14:paraId="03E52D35" w14:textId="31E646D1" w:rsidR="00966233" w:rsidRDefault="00966233" w:rsidP="00FE2A60">
      <w:pPr>
        <w:spacing w:after="0" w:line="320" w:lineRule="atLeast"/>
        <w:jc w:val="both"/>
      </w:pPr>
      <w:r>
        <w:t>La singola azienda (individuata per codice fiscale) potrà beneficiare</w:t>
      </w:r>
      <w:r w:rsidR="00AB4138">
        <w:t xml:space="preserve"> di ore di formazione,</w:t>
      </w:r>
      <w:r>
        <w:t xml:space="preserve"> per un valore UCS (unità di costo standard) che </w:t>
      </w:r>
      <w:r w:rsidRPr="000E7C63">
        <w:rPr>
          <w:u w:val="single"/>
        </w:rPr>
        <w:t xml:space="preserve">cumulativamente </w:t>
      </w:r>
      <w:r w:rsidR="00A06D64">
        <w:rPr>
          <w:u w:val="single"/>
        </w:rPr>
        <w:t>su</w:t>
      </w:r>
      <w:r w:rsidR="00322FC8">
        <w:rPr>
          <w:u w:val="single"/>
        </w:rPr>
        <w:t xml:space="preserve"> più Piani Quadro approvati </w:t>
      </w:r>
      <w:r w:rsidRPr="000E7C63">
        <w:rPr>
          <w:u w:val="single"/>
        </w:rPr>
        <w:t>nello stesso anno</w:t>
      </w:r>
      <w:r>
        <w:t xml:space="preserve"> (fa fede la data di delibera del </w:t>
      </w:r>
      <w:proofErr w:type="spellStart"/>
      <w:r>
        <w:t>CdA</w:t>
      </w:r>
      <w:proofErr w:type="spellEnd"/>
      <w:r>
        <w:t xml:space="preserve"> di approvazione del Fondo)</w:t>
      </w:r>
      <w:r w:rsidR="00AB4138">
        <w:t>,</w:t>
      </w:r>
      <w:r w:rsidR="00E21BE8">
        <w:t xml:space="preserve"> </w:t>
      </w:r>
      <w:r w:rsidR="00E21BE8">
        <w:rPr>
          <w:u w:val="single"/>
        </w:rPr>
        <w:t xml:space="preserve">non superi </w:t>
      </w:r>
      <w:r w:rsidR="00AB4138" w:rsidRPr="00E21BE8">
        <w:rPr>
          <w:u w:val="single"/>
        </w:rPr>
        <w:t>i limiti</w:t>
      </w:r>
      <w:r w:rsidR="00AB4138" w:rsidRPr="00AB4138">
        <w:rPr>
          <w:u w:val="single"/>
        </w:rPr>
        <w:t xml:space="preserve"> del budget complessivo a disposizione del Delegato e </w:t>
      </w:r>
      <w:r w:rsidR="00E21BE8">
        <w:rPr>
          <w:u w:val="single"/>
        </w:rPr>
        <w:t>rispetti i</w:t>
      </w:r>
      <w:r w:rsidR="00AB4138" w:rsidRPr="00AB4138">
        <w:rPr>
          <w:u w:val="single"/>
        </w:rPr>
        <w:t xml:space="preserve"> limiti economici stabiliti</w:t>
      </w:r>
      <w:r w:rsidR="00EA2D9B">
        <w:rPr>
          <w:u w:val="single"/>
        </w:rPr>
        <w:t xml:space="preserve"> d</w:t>
      </w:r>
      <w:r w:rsidR="00322FC8">
        <w:rPr>
          <w:u w:val="single"/>
        </w:rPr>
        <w:t>a</w:t>
      </w:r>
      <w:r w:rsidR="00EA2D9B">
        <w:rPr>
          <w:u w:val="single"/>
        </w:rPr>
        <w:t>ll’</w:t>
      </w:r>
      <w:r w:rsidR="00AB4138" w:rsidRPr="00AB4138">
        <w:rPr>
          <w:u w:val="single"/>
        </w:rPr>
        <w:t>Avviso 05-20</w:t>
      </w:r>
      <w:r w:rsidR="00EC41C8">
        <w:rPr>
          <w:u w:val="single"/>
        </w:rPr>
        <w:t>2</w:t>
      </w:r>
      <w:r w:rsidR="00322FC8">
        <w:rPr>
          <w:u w:val="single"/>
        </w:rPr>
        <w:t>4</w:t>
      </w:r>
      <w:r w:rsidR="00AB4138" w:rsidRPr="00AB4138">
        <w:rPr>
          <w:u w:val="single"/>
        </w:rPr>
        <w:t>, in funzione della propria dimensione aziendale</w:t>
      </w:r>
      <w:r w:rsidR="004907EA">
        <w:t>,</w:t>
      </w:r>
      <w:r>
        <w:t xml:space="preserve"> come da tabella seguente:</w:t>
      </w:r>
    </w:p>
    <w:p w14:paraId="0A040FB7" w14:textId="77777777" w:rsidR="00966233" w:rsidRDefault="00966233" w:rsidP="00966233">
      <w:pPr>
        <w:spacing w:line="360" w:lineRule="auto"/>
        <w:jc w:val="both"/>
        <w:rPr>
          <w:sz w:val="12"/>
          <w:szCs w:val="1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536"/>
        <w:gridCol w:w="2126"/>
        <w:gridCol w:w="2126"/>
      </w:tblGrid>
      <w:tr w:rsidR="00681FEC" w14:paraId="232778EB" w14:textId="35EC1ED2" w:rsidTr="008970AF">
        <w:trPr>
          <w:trHeight w:val="513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BA191" w14:textId="77777777" w:rsidR="00681FEC" w:rsidRDefault="00681FEC" w:rsidP="009662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Dimensione Aziendale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21974" w14:textId="72C01214" w:rsidR="00681FEC" w:rsidRDefault="00681FEC" w:rsidP="009662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Massimale aziendale finanziabile </w:t>
            </w:r>
            <w:r w:rsidRPr="00681FEC">
              <w:rPr>
                <w:b/>
                <w:sz w:val="20"/>
                <w:szCs w:val="20"/>
                <w:u w:val="single"/>
              </w:rPr>
              <w:t>per singolo Piano Quadro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3821" w14:textId="30898F56" w:rsidR="00681FEC" w:rsidRDefault="00681FEC" w:rsidP="009662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Valore contributo massimo aziendale, </w:t>
            </w:r>
            <w:r w:rsidRPr="00681FEC">
              <w:rPr>
                <w:b/>
                <w:sz w:val="20"/>
                <w:szCs w:val="20"/>
                <w:u w:val="single"/>
              </w:rPr>
              <w:t>su più Piani Quadro approvati nello stesso anno</w:t>
            </w:r>
          </w:p>
        </w:tc>
      </w:tr>
      <w:tr w:rsidR="00681FEC" w14:paraId="16C2D04B" w14:textId="18E11BAA" w:rsidTr="00681FEC">
        <w:trPr>
          <w:trHeight w:val="784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699ED" w14:textId="77777777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Micro</w:t>
            </w:r>
            <w:r>
              <w:rPr>
                <w:sz w:val="20"/>
                <w:szCs w:val="20"/>
              </w:rPr>
              <w:t xml:space="preserve"> (1-9)</w:t>
            </w:r>
          </w:p>
          <w:p w14:paraId="615BE8AB" w14:textId="77777777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Fatturato</w:t>
            </w:r>
            <w:r>
              <w:rPr>
                <w:sz w:val="20"/>
                <w:szCs w:val="20"/>
              </w:rPr>
              <w:t xml:space="preserve"> non superiore a € 2 milioni, </w:t>
            </w:r>
            <w:r>
              <w:rPr>
                <w:i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Bilancio</w:t>
            </w:r>
            <w:r>
              <w:rPr>
                <w:sz w:val="20"/>
                <w:szCs w:val="20"/>
              </w:rPr>
              <w:t xml:space="preserve"> non superiore a € 2 milioni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9E494" w14:textId="77777777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6.000,00 €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FBCA" w14:textId="6878692F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12.000,00 €</w:t>
            </w:r>
          </w:p>
        </w:tc>
      </w:tr>
      <w:tr w:rsidR="00681FEC" w14:paraId="7BC5EC85" w14:textId="013E1C40" w:rsidTr="00681FEC">
        <w:trPr>
          <w:trHeight w:val="838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D8E82" w14:textId="77777777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Piccola</w:t>
            </w:r>
            <w:r>
              <w:rPr>
                <w:sz w:val="20"/>
                <w:szCs w:val="20"/>
              </w:rPr>
              <w:t xml:space="preserve"> (10-49)</w:t>
            </w:r>
          </w:p>
          <w:p w14:paraId="6510F315" w14:textId="77777777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Fatturato</w:t>
            </w:r>
            <w:r>
              <w:rPr>
                <w:sz w:val="20"/>
                <w:szCs w:val="20"/>
              </w:rPr>
              <w:t xml:space="preserve"> non superiore a € 10 milioni, </w:t>
            </w:r>
            <w:r>
              <w:rPr>
                <w:i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Bilancio</w:t>
            </w:r>
            <w:r>
              <w:rPr>
                <w:sz w:val="20"/>
                <w:szCs w:val="20"/>
              </w:rPr>
              <w:t xml:space="preserve"> non superiore a € 10 milioni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A4F02" w14:textId="77777777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10.000,00 €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68A4" w14:textId="321E0875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20.000,00 €</w:t>
            </w:r>
          </w:p>
        </w:tc>
      </w:tr>
      <w:tr w:rsidR="00681FEC" w14:paraId="55426731" w14:textId="7791278E" w:rsidTr="00681FEC">
        <w:trPr>
          <w:trHeight w:val="850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FA0A0" w14:textId="77777777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Media </w:t>
            </w:r>
            <w:r>
              <w:rPr>
                <w:sz w:val="20"/>
                <w:szCs w:val="20"/>
              </w:rPr>
              <w:t>(50-249)</w:t>
            </w:r>
          </w:p>
          <w:p w14:paraId="39921323" w14:textId="77777777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Fatturato</w:t>
            </w:r>
            <w:r>
              <w:rPr>
                <w:sz w:val="20"/>
                <w:szCs w:val="20"/>
              </w:rPr>
              <w:t xml:space="preserve"> non superiore a € 50 milioni, </w:t>
            </w:r>
            <w:r>
              <w:rPr>
                <w:i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Bilancio</w:t>
            </w:r>
            <w:r>
              <w:rPr>
                <w:sz w:val="20"/>
                <w:szCs w:val="20"/>
              </w:rPr>
              <w:t xml:space="preserve"> non superiore a € 43 milioni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4E6AE" w14:textId="77777777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15.000,00 €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5EEF" w14:textId="62CBF1B2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25.000,00 €</w:t>
            </w:r>
          </w:p>
        </w:tc>
      </w:tr>
      <w:tr w:rsidR="00681FEC" w14:paraId="0E53C520" w14:textId="2DF1C37A" w:rsidTr="00681FEC">
        <w:trPr>
          <w:trHeight w:val="693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DB5AA" w14:textId="77777777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Grande </w:t>
            </w:r>
            <w:r>
              <w:rPr>
                <w:sz w:val="20"/>
                <w:szCs w:val="20"/>
              </w:rPr>
              <w:t>fino a 499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F260E" w14:textId="77777777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20.000,00 €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F231" w14:textId="6D1BE816" w:rsidR="00681FEC" w:rsidRDefault="00681FEC" w:rsidP="00966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25.000,00 €</w:t>
            </w:r>
          </w:p>
        </w:tc>
      </w:tr>
    </w:tbl>
    <w:p w14:paraId="3EBE0E87" w14:textId="77777777" w:rsidR="00966233" w:rsidRPr="00FB0526" w:rsidRDefault="00966233" w:rsidP="00966233">
      <w:pPr>
        <w:spacing w:line="360" w:lineRule="auto"/>
        <w:jc w:val="both"/>
        <w:rPr>
          <w:sz w:val="12"/>
          <w:szCs w:val="12"/>
        </w:rPr>
      </w:pPr>
    </w:p>
    <w:p w14:paraId="1C4029D6" w14:textId="77777777" w:rsidR="00966233" w:rsidRDefault="00966233" w:rsidP="00FE2A60">
      <w:pPr>
        <w:spacing w:after="0" w:line="320" w:lineRule="atLeast"/>
        <w:jc w:val="both"/>
        <w:rPr>
          <w:u w:val="single"/>
        </w:rPr>
      </w:pPr>
      <w:r>
        <w:t xml:space="preserve">Il finanziamento che riceveranno le aziende (Soggetti Beneficiari) andrà rendicontato tutto secondo il Regime degli aiuti di Stato, </w:t>
      </w:r>
      <w:r>
        <w:rPr>
          <w:u w:val="single"/>
        </w:rPr>
        <w:t>a seconda della scelta che effettueranno le aziende</w:t>
      </w:r>
      <w:r w:rsidR="00AE5E44">
        <w:rPr>
          <w:u w:val="single"/>
        </w:rPr>
        <w:t xml:space="preserve"> stesse</w:t>
      </w:r>
      <w:r>
        <w:rPr>
          <w:u w:val="single"/>
        </w:rPr>
        <w:t xml:space="preserve"> in fase di progettazione:</w:t>
      </w:r>
    </w:p>
    <w:p w14:paraId="6491B395" w14:textId="77777777" w:rsidR="00C44E28" w:rsidRPr="00C44E28" w:rsidRDefault="00C44E28" w:rsidP="00FE2A60">
      <w:pPr>
        <w:spacing w:after="0" w:line="320" w:lineRule="atLeast"/>
        <w:jc w:val="both"/>
        <w:rPr>
          <w:sz w:val="12"/>
          <w:szCs w:val="12"/>
        </w:rPr>
      </w:pPr>
    </w:p>
    <w:p w14:paraId="7B02FA54" w14:textId="74EE155F" w:rsidR="00684D0F" w:rsidRDefault="00684D0F" w:rsidP="00FE2A60">
      <w:pPr>
        <w:pStyle w:val="Paragrafoelenco"/>
        <w:numPr>
          <w:ilvl w:val="0"/>
          <w:numId w:val="8"/>
        </w:numPr>
        <w:spacing w:after="0" w:line="320" w:lineRule="atLeast"/>
        <w:contextualSpacing w:val="0"/>
        <w:jc w:val="both"/>
        <w:rPr>
          <w:rFonts w:eastAsia="Times New Roman"/>
          <w:i/>
          <w:iCs/>
        </w:rPr>
      </w:pPr>
      <w:r w:rsidRPr="00684D0F">
        <w:rPr>
          <w:rFonts w:eastAsia="Times New Roman"/>
          <w:b/>
          <w:bCs/>
          <w:i/>
          <w:iCs/>
        </w:rPr>
        <w:t>Regolamento UE n. 2831/2023</w:t>
      </w:r>
      <w:r w:rsidRPr="00684D0F">
        <w:rPr>
          <w:rFonts w:eastAsia="Times New Roman"/>
          <w:i/>
          <w:iCs/>
        </w:rPr>
        <w:t xml:space="preserve"> del 13 dicembre 2023 relativo all’applicazione degli articoli 107 e 108 del trattato sul funzionamento dell’Unione europea agli aiuti di importanza minore (o “de </w:t>
      </w:r>
      <w:proofErr w:type="spellStart"/>
      <w:r w:rsidRPr="00684D0F">
        <w:rPr>
          <w:rFonts w:eastAsia="Times New Roman"/>
          <w:i/>
          <w:iCs/>
        </w:rPr>
        <w:t>minimis</w:t>
      </w:r>
      <w:proofErr w:type="spellEnd"/>
      <w:r w:rsidRPr="00684D0F">
        <w:rPr>
          <w:rFonts w:eastAsia="Times New Roman"/>
          <w:i/>
          <w:iCs/>
        </w:rPr>
        <w:t>) con scadenza il 31 dicembre 2030 (</w:t>
      </w:r>
      <w:r w:rsidRPr="00684D0F">
        <w:rPr>
          <w:rFonts w:eastAsia="Times New Roman"/>
          <w:i/>
          <w:iCs/>
          <w:u w:val="single"/>
        </w:rPr>
        <w:t>massimo 300.000,00 € negli ultimi tre anni come impresa unica</w:t>
      </w:r>
      <w:r w:rsidRPr="00684D0F">
        <w:rPr>
          <w:rFonts w:eastAsia="Times New Roman"/>
          <w:i/>
          <w:iCs/>
        </w:rPr>
        <w:t>).</w:t>
      </w:r>
    </w:p>
    <w:p w14:paraId="3BDDC467" w14:textId="038EAB07" w:rsidR="00684D0F" w:rsidRDefault="00684D0F" w:rsidP="00FE2A60">
      <w:pPr>
        <w:pStyle w:val="Paragrafoelenco"/>
        <w:numPr>
          <w:ilvl w:val="0"/>
          <w:numId w:val="8"/>
        </w:numPr>
        <w:spacing w:after="0" w:line="320" w:lineRule="atLeast"/>
        <w:contextualSpacing w:val="0"/>
        <w:jc w:val="both"/>
        <w:rPr>
          <w:rFonts w:eastAsia="Times New Roman"/>
          <w:i/>
          <w:iCs/>
        </w:rPr>
      </w:pPr>
      <w:r w:rsidRPr="00684D0F">
        <w:rPr>
          <w:rFonts w:eastAsia="Times New Roman"/>
          <w:b/>
          <w:bCs/>
          <w:i/>
          <w:iCs/>
        </w:rPr>
        <w:t>Regolamento UE n.</w:t>
      </w:r>
      <w:r>
        <w:rPr>
          <w:rFonts w:eastAsia="Times New Roman"/>
          <w:b/>
          <w:bCs/>
          <w:i/>
          <w:iCs/>
        </w:rPr>
        <w:t xml:space="preserve"> </w:t>
      </w:r>
      <w:r w:rsidRPr="00684D0F">
        <w:rPr>
          <w:rFonts w:eastAsia="Times New Roman"/>
          <w:b/>
          <w:bCs/>
          <w:i/>
          <w:iCs/>
        </w:rPr>
        <w:t>1408/2013</w:t>
      </w:r>
      <w:r w:rsidRPr="00684D0F">
        <w:rPr>
          <w:rFonts w:eastAsia="Times New Roman"/>
          <w:i/>
          <w:iCs/>
        </w:rPr>
        <w:t xml:space="preserve"> della Commissione del 18 dicembre 2013 relativo all’applicazione degli articoli 107 e 108 del Trattato UE agli aiuti di importanza minore (o “de </w:t>
      </w:r>
      <w:proofErr w:type="spellStart"/>
      <w:r w:rsidRPr="00684D0F">
        <w:rPr>
          <w:rFonts w:eastAsia="Times New Roman"/>
          <w:i/>
          <w:iCs/>
        </w:rPr>
        <w:t>minimis</w:t>
      </w:r>
      <w:proofErr w:type="spellEnd"/>
      <w:r w:rsidRPr="00684D0F">
        <w:rPr>
          <w:rFonts w:eastAsia="Times New Roman"/>
          <w:i/>
          <w:iCs/>
        </w:rPr>
        <w:t xml:space="preserve">”) nel </w:t>
      </w:r>
      <w:r w:rsidRPr="00684D0F">
        <w:rPr>
          <w:rFonts w:eastAsia="Times New Roman"/>
          <w:b/>
          <w:bCs/>
          <w:i/>
          <w:iCs/>
        </w:rPr>
        <w:t>settore agricolo</w:t>
      </w:r>
      <w:r w:rsidRPr="00684D0F">
        <w:rPr>
          <w:rFonts w:eastAsia="Times New Roman"/>
          <w:i/>
          <w:iCs/>
        </w:rPr>
        <w:t>, come modificato dal regolamento (UE) 2019/316, con scadenza 31 dicembre 2027 (</w:t>
      </w:r>
      <w:r w:rsidRPr="00684D0F">
        <w:rPr>
          <w:rFonts w:eastAsia="Times New Roman"/>
          <w:i/>
          <w:iCs/>
          <w:u w:val="single"/>
        </w:rPr>
        <w:t>massimo 20.000,00 € in tre esercizi finanziari come impresa unica</w:t>
      </w:r>
      <w:r w:rsidRPr="00684D0F">
        <w:rPr>
          <w:rFonts w:eastAsia="Times New Roman"/>
          <w:i/>
          <w:iCs/>
        </w:rPr>
        <w:t>).</w:t>
      </w:r>
    </w:p>
    <w:p w14:paraId="2EAA0AA9" w14:textId="530EC9F3" w:rsidR="00684D0F" w:rsidRPr="00684D0F" w:rsidRDefault="00684D0F" w:rsidP="00FE2A60">
      <w:pPr>
        <w:pStyle w:val="Paragrafoelenco"/>
        <w:numPr>
          <w:ilvl w:val="0"/>
          <w:numId w:val="8"/>
        </w:numPr>
        <w:spacing w:after="0" w:line="320" w:lineRule="atLeast"/>
        <w:contextualSpacing w:val="0"/>
        <w:jc w:val="both"/>
        <w:rPr>
          <w:rFonts w:eastAsia="Times New Roman"/>
          <w:i/>
          <w:iCs/>
        </w:rPr>
      </w:pPr>
      <w:r w:rsidRPr="00684D0F">
        <w:rPr>
          <w:rFonts w:eastAsia="Times New Roman"/>
          <w:b/>
          <w:bCs/>
          <w:i/>
          <w:iCs/>
        </w:rPr>
        <w:t>Regolamento UE n. 717/2014</w:t>
      </w:r>
      <w:r w:rsidRPr="00684D0F">
        <w:rPr>
          <w:rFonts w:eastAsia="Times New Roman"/>
          <w:i/>
          <w:iCs/>
        </w:rPr>
        <w:t xml:space="preserve"> della Commissione del 27 giugno 2014 relativo all’applicazione degli articoli 107 e 108 del trattato sul funzionamento dell’Unione Europea agli aiuti “de </w:t>
      </w:r>
      <w:proofErr w:type="spellStart"/>
      <w:r w:rsidRPr="00684D0F">
        <w:rPr>
          <w:rFonts w:eastAsia="Times New Roman"/>
          <w:i/>
          <w:iCs/>
        </w:rPr>
        <w:t>minimis</w:t>
      </w:r>
      <w:proofErr w:type="spellEnd"/>
      <w:r w:rsidRPr="00684D0F">
        <w:rPr>
          <w:rFonts w:eastAsia="Times New Roman"/>
          <w:i/>
          <w:iCs/>
        </w:rPr>
        <w:t xml:space="preserve">” nel </w:t>
      </w:r>
      <w:r w:rsidRPr="00684D0F">
        <w:rPr>
          <w:rFonts w:eastAsia="Times New Roman"/>
          <w:b/>
          <w:bCs/>
          <w:i/>
          <w:iCs/>
        </w:rPr>
        <w:lastRenderedPageBreak/>
        <w:t>settore della pesca e dell’acquacoltura</w:t>
      </w:r>
      <w:r w:rsidRPr="00684D0F">
        <w:rPr>
          <w:rFonts w:eastAsia="Times New Roman"/>
          <w:i/>
          <w:iCs/>
        </w:rPr>
        <w:t>, con scadenza prorogata al 31 dicembre 2027 (</w:t>
      </w:r>
      <w:r w:rsidRPr="00684D0F">
        <w:rPr>
          <w:rFonts w:eastAsia="Times New Roman"/>
          <w:i/>
          <w:iCs/>
          <w:u w:val="single"/>
        </w:rPr>
        <w:t>massimo 30.000,00 € in tre esercizi finanziari come impresa unica</w:t>
      </w:r>
      <w:r w:rsidRPr="00684D0F">
        <w:rPr>
          <w:rFonts w:eastAsia="Times New Roman"/>
          <w:i/>
          <w:iCs/>
        </w:rPr>
        <w:t>)</w:t>
      </w:r>
    </w:p>
    <w:p w14:paraId="226C780B" w14:textId="0F31CAA6" w:rsidR="00C44E28" w:rsidRPr="00684D0F" w:rsidRDefault="00FB0526" w:rsidP="00FE2A60">
      <w:pPr>
        <w:spacing w:after="0" w:line="320" w:lineRule="atLeast"/>
        <w:jc w:val="both"/>
        <w:rPr>
          <w:rFonts w:eastAsia="Times New Roman"/>
          <w:iCs/>
        </w:rPr>
      </w:pPr>
      <w:r w:rsidRPr="00FB0526">
        <w:rPr>
          <w:rFonts w:eastAsia="Times New Roman"/>
          <w:iCs/>
        </w:rPr>
        <w:t>Tal</w:t>
      </w:r>
      <w:r w:rsidR="003F6156">
        <w:rPr>
          <w:rFonts w:eastAsia="Times New Roman"/>
          <w:iCs/>
        </w:rPr>
        <w:t>i</w:t>
      </w:r>
      <w:r w:rsidRPr="00FB0526">
        <w:rPr>
          <w:rFonts w:eastAsia="Times New Roman"/>
          <w:iCs/>
        </w:rPr>
        <w:t xml:space="preserve"> Regolament</w:t>
      </w:r>
      <w:r w:rsidR="00684D0F">
        <w:rPr>
          <w:rFonts w:eastAsia="Times New Roman"/>
          <w:iCs/>
        </w:rPr>
        <w:t>i</w:t>
      </w:r>
      <w:r w:rsidRPr="00FB0526">
        <w:rPr>
          <w:rFonts w:eastAsia="Times New Roman"/>
          <w:iCs/>
        </w:rPr>
        <w:t xml:space="preserve"> </w:t>
      </w:r>
      <w:r w:rsidRPr="00FB0526">
        <w:rPr>
          <w:rFonts w:eastAsia="Times New Roman"/>
          <w:b/>
          <w:iCs/>
          <w:u w:val="single"/>
        </w:rPr>
        <w:t>NON obbliga</w:t>
      </w:r>
      <w:r w:rsidR="00684D0F">
        <w:rPr>
          <w:rFonts w:eastAsia="Times New Roman"/>
          <w:b/>
          <w:iCs/>
          <w:u w:val="single"/>
        </w:rPr>
        <w:t>no</w:t>
      </w:r>
      <w:r w:rsidRPr="00FB0526">
        <w:rPr>
          <w:rFonts w:eastAsia="Times New Roman"/>
          <w:b/>
          <w:iCs/>
          <w:u w:val="single"/>
        </w:rPr>
        <w:t xml:space="preserve"> al Cofinanziamento aziendale e consent</w:t>
      </w:r>
      <w:r w:rsidR="00684D0F">
        <w:rPr>
          <w:rFonts w:eastAsia="Times New Roman"/>
          <w:b/>
          <w:iCs/>
          <w:u w:val="single"/>
        </w:rPr>
        <w:t>ono</w:t>
      </w:r>
      <w:r w:rsidRPr="00FB0526">
        <w:rPr>
          <w:rFonts w:eastAsia="Times New Roman"/>
          <w:b/>
          <w:iCs/>
          <w:u w:val="single"/>
        </w:rPr>
        <w:t xml:space="preserve"> il finanziamento</w:t>
      </w:r>
      <w:r w:rsidR="000E7C63">
        <w:rPr>
          <w:rFonts w:eastAsia="Times New Roman"/>
          <w:b/>
          <w:iCs/>
          <w:u w:val="single"/>
        </w:rPr>
        <w:t xml:space="preserve"> al 100%</w:t>
      </w:r>
      <w:r w:rsidRPr="00FB0526">
        <w:rPr>
          <w:rFonts w:eastAsia="Times New Roman"/>
          <w:b/>
          <w:iCs/>
          <w:u w:val="single"/>
        </w:rPr>
        <w:t xml:space="preserve"> di tutta la formazione, anche quella obbligatoria per legge</w:t>
      </w:r>
      <w:r w:rsidRPr="00FB0526">
        <w:rPr>
          <w:rFonts w:eastAsia="Times New Roman"/>
          <w:b/>
          <w:iCs/>
        </w:rPr>
        <w:t>.</w:t>
      </w:r>
    </w:p>
    <w:p w14:paraId="3645F78B" w14:textId="77777777" w:rsidR="009844C2" w:rsidRDefault="009844C2" w:rsidP="00C44E28">
      <w:pPr>
        <w:pStyle w:val="Paragrafoelenco"/>
        <w:spacing w:after="0" w:line="360" w:lineRule="auto"/>
        <w:contextualSpacing w:val="0"/>
        <w:jc w:val="both"/>
        <w:rPr>
          <w:rFonts w:eastAsia="Times New Roman"/>
          <w:i/>
          <w:iCs/>
        </w:rPr>
      </w:pPr>
    </w:p>
    <w:p w14:paraId="35365628" w14:textId="77777777" w:rsidR="00966233" w:rsidRDefault="00966233" w:rsidP="00966233">
      <w:pPr>
        <w:pStyle w:val="Paragrafoelenco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O in alternativa</w:t>
      </w:r>
    </w:p>
    <w:p w14:paraId="0093FB07" w14:textId="77777777" w:rsidR="003C28BE" w:rsidRDefault="003C28BE" w:rsidP="00966233">
      <w:pPr>
        <w:pStyle w:val="Paragrafoelenco"/>
        <w:spacing w:line="360" w:lineRule="auto"/>
        <w:jc w:val="both"/>
        <w:rPr>
          <w:b/>
          <w:bCs/>
        </w:rPr>
      </w:pPr>
    </w:p>
    <w:p w14:paraId="4811DB63" w14:textId="50729D12" w:rsidR="00A05656" w:rsidRDefault="00966233" w:rsidP="00FE2A60">
      <w:pPr>
        <w:pStyle w:val="Paragrafoelenco"/>
        <w:numPr>
          <w:ilvl w:val="0"/>
          <w:numId w:val="8"/>
        </w:numPr>
        <w:spacing w:after="0" w:line="320" w:lineRule="atLeast"/>
        <w:contextualSpacing w:val="0"/>
        <w:jc w:val="both"/>
        <w:rPr>
          <w:rFonts w:eastAsia="Times New Roman"/>
        </w:rPr>
      </w:pPr>
      <w:r w:rsidRPr="004907EA">
        <w:rPr>
          <w:rFonts w:eastAsia="Times New Roman"/>
          <w:b/>
          <w:i/>
          <w:iCs/>
        </w:rPr>
        <w:t>Regolamento UE 651/2014</w:t>
      </w:r>
      <w:r w:rsidR="005B423B">
        <w:rPr>
          <w:rFonts w:eastAsia="Times New Roman"/>
          <w:b/>
          <w:i/>
          <w:iCs/>
        </w:rPr>
        <w:t xml:space="preserve"> (modificato da</w:t>
      </w:r>
      <w:r w:rsidR="005B423B" w:rsidRPr="005B423B">
        <w:rPr>
          <w:rFonts w:eastAsia="Times New Roman"/>
          <w:b/>
          <w:i/>
          <w:iCs/>
        </w:rPr>
        <w:t>l Regolamento UE 1315/2023</w:t>
      </w:r>
      <w:r w:rsidR="005B423B">
        <w:rPr>
          <w:rFonts w:eastAsia="Times New Roman"/>
          <w:b/>
          <w:i/>
          <w:iCs/>
        </w:rPr>
        <w:t>)</w:t>
      </w:r>
      <w:r w:rsidR="004907EA">
        <w:rPr>
          <w:rFonts w:eastAsia="Times New Roman"/>
        </w:rPr>
        <w:t>.</w:t>
      </w:r>
    </w:p>
    <w:p w14:paraId="701A465F" w14:textId="77777777" w:rsidR="00966233" w:rsidRDefault="004907EA" w:rsidP="00FE2A60">
      <w:pPr>
        <w:pStyle w:val="Paragrafoelenco"/>
        <w:spacing w:after="0" w:line="320" w:lineRule="atLeast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L</w:t>
      </w:r>
      <w:r w:rsidR="00966233">
        <w:rPr>
          <w:rFonts w:eastAsia="Times New Roman"/>
        </w:rPr>
        <w:t xml:space="preserve">e aziende che opteranno per questo Regime </w:t>
      </w:r>
      <w:r w:rsidR="00966233" w:rsidRPr="00966233">
        <w:rPr>
          <w:rFonts w:eastAsia="Times New Roman"/>
          <w:b/>
          <w:u w:val="single"/>
        </w:rPr>
        <w:t xml:space="preserve">non </w:t>
      </w:r>
      <w:r>
        <w:rPr>
          <w:rFonts w:eastAsia="Times New Roman"/>
          <w:b/>
          <w:u w:val="single"/>
        </w:rPr>
        <w:t>potranno</w:t>
      </w:r>
      <w:r w:rsidR="00966233" w:rsidRPr="00966233">
        <w:rPr>
          <w:rFonts w:eastAsia="Times New Roman"/>
          <w:b/>
          <w:u w:val="single"/>
        </w:rPr>
        <w:t xml:space="preserve"> beneficiarie di percorsi formativi riguardanti la formazione obbligatoria</w:t>
      </w:r>
      <w:r>
        <w:rPr>
          <w:rFonts w:eastAsia="Times New Roman"/>
          <w:b/>
          <w:u w:val="single"/>
        </w:rPr>
        <w:t>.</w:t>
      </w:r>
    </w:p>
    <w:p w14:paraId="3B0A94E9" w14:textId="77777777" w:rsidR="003C28BE" w:rsidRPr="004907EA" w:rsidRDefault="003C28BE" w:rsidP="00FE2A60">
      <w:pPr>
        <w:pStyle w:val="Paragrafoelenco"/>
        <w:spacing w:after="0" w:line="320" w:lineRule="atLeast"/>
        <w:jc w:val="both"/>
        <w:rPr>
          <w:b/>
        </w:rPr>
      </w:pPr>
      <w:r>
        <w:t>A titolo esemplificativo</w:t>
      </w:r>
      <w:r w:rsidR="004907EA">
        <w:t>,</w:t>
      </w:r>
      <w:r>
        <w:t xml:space="preserve"> ma non esaustivo</w:t>
      </w:r>
      <w:r w:rsidR="004907EA">
        <w:t>,</w:t>
      </w:r>
      <w:r>
        <w:t xml:space="preserve"> si citano alcune tipologie di </w:t>
      </w:r>
      <w:r w:rsidRPr="00A05656">
        <w:rPr>
          <w:u w:val="single"/>
        </w:rPr>
        <w:t>formazione escluse</w:t>
      </w:r>
      <w:r w:rsidR="004907EA">
        <w:t xml:space="preserve"> optando per il </w:t>
      </w:r>
      <w:r w:rsidR="004907EA" w:rsidRPr="004907EA">
        <w:rPr>
          <w:rFonts w:eastAsia="Times New Roman"/>
          <w:i/>
          <w:iCs/>
        </w:rPr>
        <w:t>Regolamento UE 651/2014</w:t>
      </w:r>
      <w:r>
        <w:t>:</w:t>
      </w:r>
    </w:p>
    <w:p w14:paraId="1FFF85CA" w14:textId="77777777" w:rsidR="003C28BE" w:rsidRDefault="003C28BE" w:rsidP="00FE2A60">
      <w:pPr>
        <w:pStyle w:val="Paragrafoelenco"/>
        <w:spacing w:after="0" w:line="320" w:lineRule="atLeast"/>
        <w:jc w:val="both"/>
      </w:pPr>
      <w:r w:rsidRPr="003C28BE">
        <w:rPr>
          <w:rFonts w:ascii="Segoe UI Symbol" w:hAnsi="Segoe UI Symbol" w:cs="Segoe UI Symbol"/>
        </w:rPr>
        <w:t>✓</w:t>
      </w:r>
      <w:r>
        <w:t xml:space="preserve"> in materia di sicurezza sul lavoro per tutti i lavoratori e le figure previste ex </w:t>
      </w:r>
      <w:proofErr w:type="spellStart"/>
      <w:r>
        <w:t>D.Lgs</w:t>
      </w:r>
      <w:proofErr w:type="spellEnd"/>
      <w:r>
        <w:t xml:space="preserve"> 81/2008;</w:t>
      </w:r>
    </w:p>
    <w:p w14:paraId="28BC5360" w14:textId="77777777" w:rsidR="003C28BE" w:rsidRDefault="003C28BE" w:rsidP="00FE2A60">
      <w:pPr>
        <w:pStyle w:val="Paragrafoelenco"/>
        <w:spacing w:after="0" w:line="320" w:lineRule="atLeast"/>
        <w:jc w:val="both"/>
      </w:pPr>
      <w:r w:rsidRPr="003C28BE">
        <w:rPr>
          <w:rFonts w:ascii="Segoe UI Symbol" w:hAnsi="Segoe UI Symbol" w:cs="Segoe UI Symbol"/>
        </w:rPr>
        <w:t>✓</w:t>
      </w:r>
      <w:r>
        <w:t xml:space="preserve"> in materia di HACCP;</w:t>
      </w:r>
    </w:p>
    <w:p w14:paraId="5BD75E2B" w14:textId="77777777" w:rsidR="003C28BE" w:rsidRDefault="003C28BE" w:rsidP="00FE2A60">
      <w:pPr>
        <w:pStyle w:val="Paragrafoelenco"/>
        <w:spacing w:after="0" w:line="320" w:lineRule="atLeast"/>
        <w:jc w:val="both"/>
      </w:pPr>
      <w:r w:rsidRPr="003C28BE">
        <w:rPr>
          <w:rFonts w:ascii="Segoe UI Symbol" w:hAnsi="Segoe UI Symbol" w:cs="Segoe UI Symbol"/>
        </w:rPr>
        <w:t>✓</w:t>
      </w:r>
      <w:r>
        <w:t xml:space="preserve"> per l’acquisizione di patentini o qualifiche (ascensorista, conduzione impianti termici, frigorista,</w:t>
      </w:r>
    </w:p>
    <w:p w14:paraId="70447EB8" w14:textId="77777777" w:rsidR="003C28BE" w:rsidRDefault="003C28BE" w:rsidP="00FE2A60">
      <w:pPr>
        <w:pStyle w:val="Paragrafoelenco"/>
        <w:spacing w:after="0" w:line="320" w:lineRule="atLeast"/>
        <w:jc w:val="both"/>
      </w:pPr>
      <w:r>
        <w:t>saldatore, ecc.);</w:t>
      </w:r>
    </w:p>
    <w:p w14:paraId="0EBE56A7" w14:textId="77777777" w:rsidR="003C28BE" w:rsidRDefault="003C28BE" w:rsidP="00FE2A60">
      <w:pPr>
        <w:pStyle w:val="Paragrafoelenco"/>
        <w:spacing w:after="0" w:line="320" w:lineRule="atLeast"/>
        <w:jc w:val="both"/>
      </w:pPr>
      <w:r w:rsidRPr="003C28BE">
        <w:rPr>
          <w:rFonts w:ascii="Segoe UI Symbol" w:hAnsi="Segoe UI Symbol" w:cs="Segoe UI Symbol"/>
        </w:rPr>
        <w:t>✓</w:t>
      </w:r>
      <w:r>
        <w:t xml:space="preserve"> per l’accesso a determinate professioni (CQC – Carta di Qualificazione del Conducente, estetista,</w:t>
      </w:r>
    </w:p>
    <w:p w14:paraId="370EF73F" w14:textId="77777777" w:rsidR="003C28BE" w:rsidRDefault="003C28BE" w:rsidP="00FE2A60">
      <w:pPr>
        <w:pStyle w:val="Paragrafoelenco"/>
        <w:spacing w:after="0" w:line="320" w:lineRule="atLeast"/>
        <w:jc w:val="both"/>
      </w:pPr>
      <w:r>
        <w:t>acconciatore, ecc.).</w:t>
      </w:r>
    </w:p>
    <w:p w14:paraId="542FF6AA" w14:textId="77777777" w:rsidR="004907EA" w:rsidRPr="00A05656" w:rsidRDefault="00A05656" w:rsidP="00FE2A60">
      <w:pPr>
        <w:pStyle w:val="Paragrafoelenco"/>
        <w:spacing w:after="0" w:line="320" w:lineRule="atLeast"/>
        <w:jc w:val="center"/>
        <w:rPr>
          <w:u w:val="single"/>
        </w:rPr>
      </w:pPr>
      <w:r w:rsidRPr="00A05656">
        <w:rPr>
          <w:b/>
          <w:u w:val="single"/>
        </w:rPr>
        <w:t xml:space="preserve">Sempre optando per il Regolamento </w:t>
      </w:r>
      <w:r w:rsidRPr="00A05656">
        <w:rPr>
          <w:rFonts w:eastAsia="Times New Roman"/>
          <w:b/>
          <w:i/>
          <w:iCs/>
          <w:u w:val="single"/>
        </w:rPr>
        <w:t>UE 651/2014</w:t>
      </w:r>
      <w:r>
        <w:rPr>
          <w:rFonts w:eastAsia="Times New Roman"/>
          <w:b/>
          <w:i/>
          <w:iCs/>
          <w:u w:val="single"/>
        </w:rPr>
        <w:t>,</w:t>
      </w:r>
      <w:r w:rsidRPr="00A05656">
        <w:rPr>
          <w:b/>
          <w:u w:val="single"/>
        </w:rPr>
        <w:t xml:space="preserve"> </w:t>
      </w:r>
      <w:r>
        <w:rPr>
          <w:b/>
          <w:u w:val="single"/>
        </w:rPr>
        <w:t>l</w:t>
      </w:r>
      <w:r w:rsidR="004907EA" w:rsidRPr="00A05656">
        <w:rPr>
          <w:b/>
          <w:u w:val="single"/>
        </w:rPr>
        <w:t xml:space="preserve">’intensità di aiuto alla formazione non </w:t>
      </w:r>
      <w:r w:rsidR="000E7C63">
        <w:rPr>
          <w:b/>
          <w:u w:val="single"/>
        </w:rPr>
        <w:t>potrà</w:t>
      </w:r>
      <w:r w:rsidR="004907EA" w:rsidRPr="00A05656">
        <w:rPr>
          <w:b/>
          <w:u w:val="single"/>
        </w:rPr>
        <w:t xml:space="preserve"> superare il 50 % dei costi ammissibili del Piano</w:t>
      </w:r>
      <w:r w:rsidR="004907EA" w:rsidRPr="00A05656">
        <w:rPr>
          <w:u w:val="single"/>
        </w:rPr>
        <w:t>.</w:t>
      </w:r>
    </w:p>
    <w:p w14:paraId="4F16BC3C" w14:textId="77777777" w:rsidR="004907EA" w:rsidRDefault="004907EA" w:rsidP="00FE2A60">
      <w:pPr>
        <w:pStyle w:val="Paragrafoelenco"/>
        <w:spacing w:after="0" w:line="320" w:lineRule="atLeast"/>
        <w:jc w:val="both"/>
      </w:pPr>
      <w:r>
        <w:t xml:space="preserve">Tale percentuale </w:t>
      </w:r>
      <w:r w:rsidR="000E7C63">
        <w:t>potrà</w:t>
      </w:r>
      <w:r>
        <w:t xml:space="preserve"> essere aumentata </w:t>
      </w:r>
      <w:r w:rsidRPr="000E7C63">
        <w:rPr>
          <w:b/>
          <w:u w:val="single"/>
        </w:rPr>
        <w:t>al massimo fino al 70 % dei costi ammissibili</w:t>
      </w:r>
      <w:r>
        <w:t xml:space="preserve"> al verificarsi delle</w:t>
      </w:r>
      <w:r w:rsidR="00A05656">
        <w:t xml:space="preserve"> </w:t>
      </w:r>
      <w:r>
        <w:t>seguenti condizioni:</w:t>
      </w:r>
    </w:p>
    <w:p w14:paraId="364039E4" w14:textId="77777777" w:rsidR="004907EA" w:rsidRDefault="004907EA" w:rsidP="00FE2A60">
      <w:pPr>
        <w:pStyle w:val="Paragrafoelenco"/>
        <w:numPr>
          <w:ilvl w:val="0"/>
          <w:numId w:val="7"/>
        </w:numPr>
        <w:spacing w:after="0" w:line="320" w:lineRule="atLeast"/>
        <w:jc w:val="both"/>
      </w:pPr>
      <w:r>
        <w:t xml:space="preserve">finanziamento richiesto da una piccola impresa: </w:t>
      </w:r>
      <w:r w:rsidRPr="00FB0526">
        <w:rPr>
          <w:u w:val="single"/>
        </w:rPr>
        <w:t>aumento di 20 punti percentuali</w:t>
      </w:r>
    </w:p>
    <w:p w14:paraId="58F9AF7A" w14:textId="77777777" w:rsidR="004907EA" w:rsidRDefault="004907EA" w:rsidP="00FE2A60">
      <w:pPr>
        <w:pStyle w:val="Paragrafoelenco"/>
        <w:numPr>
          <w:ilvl w:val="0"/>
          <w:numId w:val="7"/>
        </w:numPr>
        <w:spacing w:after="0" w:line="320" w:lineRule="atLeast"/>
        <w:jc w:val="both"/>
      </w:pPr>
      <w:r>
        <w:t xml:space="preserve">finanziamento richiesto da una media impresa: </w:t>
      </w:r>
      <w:r w:rsidRPr="00FB0526">
        <w:rPr>
          <w:u w:val="single"/>
        </w:rPr>
        <w:t>aumento di 10 punti percentuali</w:t>
      </w:r>
    </w:p>
    <w:p w14:paraId="7DCDB861" w14:textId="77777777" w:rsidR="004907EA" w:rsidRDefault="004907EA" w:rsidP="00FE2A60">
      <w:pPr>
        <w:pStyle w:val="Paragrafoelenco"/>
        <w:numPr>
          <w:ilvl w:val="0"/>
          <w:numId w:val="7"/>
        </w:numPr>
        <w:spacing w:after="0" w:line="320" w:lineRule="atLeast"/>
        <w:jc w:val="both"/>
      </w:pPr>
      <w:r>
        <w:t xml:space="preserve">formazione destinata a lavoratori con disabilità o svantaggiati: </w:t>
      </w:r>
      <w:r w:rsidRPr="00FB0526">
        <w:rPr>
          <w:u w:val="single"/>
        </w:rPr>
        <w:t>aumento di 10 punti percentuali</w:t>
      </w:r>
      <w:r>
        <w:t>.</w:t>
      </w:r>
    </w:p>
    <w:p w14:paraId="58275201" w14:textId="77777777" w:rsidR="00A05656" w:rsidRPr="00A05656" w:rsidRDefault="00A05656" w:rsidP="00A05656">
      <w:pPr>
        <w:pStyle w:val="Paragrafoelenco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559"/>
        <w:gridCol w:w="2018"/>
      </w:tblGrid>
      <w:tr w:rsidR="00A05656" w:rsidRPr="00A05656" w14:paraId="36134AEE" w14:textId="77777777" w:rsidTr="00A05656">
        <w:trPr>
          <w:trHeight w:val="380"/>
          <w:jc w:val="center"/>
        </w:trPr>
        <w:tc>
          <w:tcPr>
            <w:tcW w:w="3647" w:type="dxa"/>
            <w:gridSpan w:val="2"/>
          </w:tcPr>
          <w:p w14:paraId="7781D870" w14:textId="77777777" w:rsidR="00A05656" w:rsidRPr="00A05656" w:rsidRDefault="00A05656" w:rsidP="00A05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565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Intensità massima aiuto</w:t>
            </w:r>
          </w:p>
        </w:tc>
        <w:tc>
          <w:tcPr>
            <w:tcW w:w="2018" w:type="dxa"/>
          </w:tcPr>
          <w:p w14:paraId="4B5925FD" w14:textId="77777777" w:rsidR="00A05656" w:rsidRPr="00A05656" w:rsidRDefault="00A05656" w:rsidP="00A05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565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Cofinanziamento minimo</w:t>
            </w:r>
          </w:p>
        </w:tc>
      </w:tr>
      <w:tr w:rsidR="00A05656" w:rsidRPr="00A05656" w14:paraId="2234A4AC" w14:textId="77777777" w:rsidTr="00A05656">
        <w:trPr>
          <w:trHeight w:val="159"/>
          <w:jc w:val="center"/>
        </w:trPr>
        <w:tc>
          <w:tcPr>
            <w:tcW w:w="2088" w:type="dxa"/>
          </w:tcPr>
          <w:p w14:paraId="1D2E5525" w14:textId="77777777" w:rsidR="00A05656" w:rsidRPr="00A05656" w:rsidRDefault="00A05656" w:rsidP="00A0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565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Grande Impresa </w:t>
            </w:r>
          </w:p>
        </w:tc>
        <w:tc>
          <w:tcPr>
            <w:tcW w:w="1559" w:type="dxa"/>
          </w:tcPr>
          <w:p w14:paraId="15852743" w14:textId="77777777" w:rsidR="00A05656" w:rsidRPr="00A05656" w:rsidRDefault="00A05656" w:rsidP="00A05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5656">
              <w:rPr>
                <w:rFonts w:ascii="Calibri" w:hAnsi="Calibri" w:cs="Calibri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2018" w:type="dxa"/>
          </w:tcPr>
          <w:p w14:paraId="303FFF5F" w14:textId="77777777" w:rsidR="00A05656" w:rsidRPr="00A05656" w:rsidRDefault="00A05656" w:rsidP="00A05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5656">
              <w:rPr>
                <w:rFonts w:ascii="Calibri" w:hAnsi="Calibri" w:cs="Calibri"/>
                <w:color w:val="000000"/>
                <w:sz w:val="24"/>
                <w:szCs w:val="24"/>
              </w:rPr>
              <w:t>50%</w:t>
            </w:r>
          </w:p>
        </w:tc>
      </w:tr>
      <w:tr w:rsidR="00A05656" w:rsidRPr="00A05656" w14:paraId="66CAA554" w14:textId="77777777" w:rsidTr="00A05656">
        <w:trPr>
          <w:trHeight w:val="159"/>
          <w:jc w:val="center"/>
        </w:trPr>
        <w:tc>
          <w:tcPr>
            <w:tcW w:w="2088" w:type="dxa"/>
          </w:tcPr>
          <w:p w14:paraId="589E270F" w14:textId="77777777" w:rsidR="00A05656" w:rsidRPr="00A05656" w:rsidRDefault="00A05656" w:rsidP="00A0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565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Media Impresa </w:t>
            </w:r>
          </w:p>
        </w:tc>
        <w:tc>
          <w:tcPr>
            <w:tcW w:w="1559" w:type="dxa"/>
          </w:tcPr>
          <w:p w14:paraId="464D5CB7" w14:textId="77777777" w:rsidR="00A05656" w:rsidRPr="00A05656" w:rsidRDefault="00A05656" w:rsidP="00A05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5656">
              <w:rPr>
                <w:rFonts w:ascii="Calibri" w:hAnsi="Calibri" w:cs="Calibri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2018" w:type="dxa"/>
          </w:tcPr>
          <w:p w14:paraId="20EAB266" w14:textId="77777777" w:rsidR="00A05656" w:rsidRPr="00A05656" w:rsidRDefault="00A05656" w:rsidP="00A05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5656">
              <w:rPr>
                <w:rFonts w:ascii="Calibri" w:hAnsi="Calibri" w:cs="Calibri"/>
                <w:color w:val="000000"/>
                <w:sz w:val="24"/>
                <w:szCs w:val="24"/>
              </w:rPr>
              <w:t>40%</w:t>
            </w:r>
          </w:p>
        </w:tc>
      </w:tr>
      <w:tr w:rsidR="00A05656" w:rsidRPr="00A05656" w14:paraId="7FB985D2" w14:textId="77777777" w:rsidTr="00A05656">
        <w:trPr>
          <w:trHeight w:val="159"/>
          <w:jc w:val="center"/>
        </w:trPr>
        <w:tc>
          <w:tcPr>
            <w:tcW w:w="2088" w:type="dxa"/>
          </w:tcPr>
          <w:p w14:paraId="07358327" w14:textId="77777777" w:rsidR="00A05656" w:rsidRPr="00A05656" w:rsidRDefault="00A05656" w:rsidP="00A0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565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Piccola Impresa </w:t>
            </w:r>
          </w:p>
        </w:tc>
        <w:tc>
          <w:tcPr>
            <w:tcW w:w="1559" w:type="dxa"/>
          </w:tcPr>
          <w:p w14:paraId="2AF51768" w14:textId="77777777" w:rsidR="00A05656" w:rsidRPr="00A05656" w:rsidRDefault="00A05656" w:rsidP="00A05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5656">
              <w:rPr>
                <w:rFonts w:ascii="Calibri" w:hAnsi="Calibri" w:cs="Calibri"/>
                <w:color w:val="000000"/>
                <w:sz w:val="24"/>
                <w:szCs w:val="24"/>
              </w:rPr>
              <w:t>70%</w:t>
            </w:r>
          </w:p>
        </w:tc>
        <w:tc>
          <w:tcPr>
            <w:tcW w:w="2018" w:type="dxa"/>
          </w:tcPr>
          <w:p w14:paraId="178FB904" w14:textId="77777777" w:rsidR="00A05656" w:rsidRPr="00A05656" w:rsidRDefault="00A05656" w:rsidP="00A05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05656">
              <w:rPr>
                <w:rFonts w:ascii="Calibri" w:hAnsi="Calibri" w:cs="Calibri"/>
                <w:color w:val="000000"/>
                <w:sz w:val="24"/>
                <w:szCs w:val="24"/>
              </w:rPr>
              <w:t>30%</w:t>
            </w:r>
          </w:p>
        </w:tc>
      </w:tr>
    </w:tbl>
    <w:p w14:paraId="0B4FD269" w14:textId="77777777" w:rsidR="004907EA" w:rsidRDefault="004907EA" w:rsidP="00FE2A60">
      <w:pPr>
        <w:pStyle w:val="Paragrafoelenco"/>
        <w:spacing w:after="0" w:line="320" w:lineRule="atLeast"/>
        <w:jc w:val="both"/>
      </w:pPr>
    </w:p>
    <w:p w14:paraId="1047C935" w14:textId="69304D70" w:rsidR="003C28BE" w:rsidRDefault="003C28BE" w:rsidP="00FE2A60">
      <w:pPr>
        <w:spacing w:after="0" w:line="320" w:lineRule="atLeast"/>
        <w:jc w:val="both"/>
      </w:pPr>
      <w:r>
        <w:t>Se l’azienda ha già ottenuto altri finanziamenti pubblici nell’ultimo triennio</w:t>
      </w:r>
      <w:r w:rsidR="00FB0526">
        <w:t>,</w:t>
      </w:r>
      <w:r>
        <w:t xml:space="preserve"> </w:t>
      </w:r>
      <w:r w:rsidR="00FB0526">
        <w:t>utilizzando</w:t>
      </w:r>
      <w:r>
        <w:t xml:space="preserve"> uno dei 2 Regolamenti prima indicati</w:t>
      </w:r>
      <w:r w:rsidR="00FB0526">
        <w:t>,</w:t>
      </w:r>
      <w:r>
        <w:t xml:space="preserve"> </w:t>
      </w:r>
      <w:r w:rsidRPr="00FB0526">
        <w:rPr>
          <w:u w:val="single"/>
        </w:rPr>
        <w:t>è obbligata ad utilizzare l</w:t>
      </w:r>
      <w:r w:rsidR="00FB0526" w:rsidRPr="00FB0526">
        <w:rPr>
          <w:u w:val="single"/>
        </w:rPr>
        <w:t>o</w:t>
      </w:r>
      <w:r w:rsidRPr="00FB0526">
        <w:rPr>
          <w:u w:val="single"/>
        </w:rPr>
        <w:t xml:space="preserve"> stess</w:t>
      </w:r>
      <w:r w:rsidR="00FB0526" w:rsidRPr="00FB0526">
        <w:rPr>
          <w:u w:val="single"/>
        </w:rPr>
        <w:t>o Regolamento</w:t>
      </w:r>
      <w:r w:rsidRPr="00FB0526">
        <w:rPr>
          <w:u w:val="single"/>
        </w:rPr>
        <w:t xml:space="preserve"> anche per l’Avviso 05/2</w:t>
      </w:r>
      <w:r w:rsidR="00EC41C8">
        <w:rPr>
          <w:u w:val="single"/>
        </w:rPr>
        <w:t>02</w:t>
      </w:r>
      <w:r w:rsidR="003F6156">
        <w:rPr>
          <w:u w:val="single"/>
        </w:rPr>
        <w:t>4</w:t>
      </w:r>
      <w:r>
        <w:t xml:space="preserve">. </w:t>
      </w:r>
    </w:p>
    <w:p w14:paraId="2CFEBF89" w14:textId="77777777" w:rsidR="0071263A" w:rsidRDefault="0071263A" w:rsidP="00FE2A60">
      <w:pPr>
        <w:spacing w:after="0" w:line="320" w:lineRule="atLeast"/>
        <w:jc w:val="both"/>
      </w:pPr>
    </w:p>
    <w:p w14:paraId="4406B6F9" w14:textId="77777777" w:rsidR="00966233" w:rsidRDefault="00966233" w:rsidP="00FE2A60">
      <w:pPr>
        <w:spacing w:after="0" w:line="320" w:lineRule="atLeast"/>
        <w:jc w:val="both"/>
      </w:pPr>
      <w:r>
        <w:lastRenderedPageBreak/>
        <w:t xml:space="preserve">Il Fondo autorizzerà le aziende all’accesso al finanziamento richiesto (previa apposita richiesta effettuata </w:t>
      </w:r>
      <w:r w:rsidR="000E7C63">
        <w:t xml:space="preserve">dall’azienda </w:t>
      </w:r>
      <w:r>
        <w:t xml:space="preserve">mediante la compilazione di un format del Fondo), a seguito di preventiva verifica ed implementazione del Registro Nazionale Aiuti di Stato (RNA) di cui all’art 14 della legge 115/2015, così come previsto dall’art 52 della legge 234/2012 e </w:t>
      </w:r>
      <w:proofErr w:type="spellStart"/>
      <w:r>
        <w:t>s.m.i.</w:t>
      </w:r>
      <w:proofErr w:type="spellEnd"/>
      <w:r>
        <w:t xml:space="preserve"> e dalle disposizioni attuative. </w:t>
      </w:r>
    </w:p>
    <w:p w14:paraId="50A63DE1" w14:textId="77777777" w:rsidR="00966233" w:rsidRPr="00A77A6F" w:rsidRDefault="00966233" w:rsidP="00FE2A60">
      <w:pPr>
        <w:spacing w:after="0" w:line="320" w:lineRule="atLeast"/>
        <w:jc w:val="both"/>
        <w:rPr>
          <w:u w:val="single"/>
        </w:rPr>
      </w:pPr>
      <w:r w:rsidRPr="00A77A6F">
        <w:rPr>
          <w:u w:val="single"/>
        </w:rPr>
        <w:t>Il finanziamento preventivamente richiesto dall’azienda e autorizzato dal Fondo, sarà il valore massimo a cui l’azienda stessa potrà accedere nel Piano formativo.</w:t>
      </w:r>
    </w:p>
    <w:sectPr w:rsidR="00966233" w:rsidRPr="00A77A6F" w:rsidSect="00684D0F">
      <w:headerReference w:type="default" r:id="rId8"/>
      <w:footerReference w:type="default" r:id="rId9"/>
      <w:pgSz w:w="11906" w:h="16838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93F3D" w14:textId="77777777" w:rsidR="001951F2" w:rsidRDefault="001951F2" w:rsidP="0080082E">
      <w:pPr>
        <w:spacing w:after="0" w:line="240" w:lineRule="auto"/>
      </w:pPr>
      <w:r>
        <w:separator/>
      </w:r>
    </w:p>
  </w:endnote>
  <w:endnote w:type="continuationSeparator" w:id="0">
    <w:p w14:paraId="5BACFB88" w14:textId="77777777" w:rsidR="001951F2" w:rsidRDefault="001951F2" w:rsidP="00800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1912348"/>
      <w:docPartObj>
        <w:docPartGallery w:val="Page Numbers (Bottom of Page)"/>
        <w:docPartUnique/>
      </w:docPartObj>
    </w:sdtPr>
    <w:sdtEndPr/>
    <w:sdtContent>
      <w:p w14:paraId="05F5F029" w14:textId="77777777" w:rsidR="001D4F06" w:rsidRDefault="001D4F0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0B181B" w14:textId="77777777" w:rsidR="001D4F06" w:rsidRDefault="001D4F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0CF43" w14:textId="77777777" w:rsidR="001951F2" w:rsidRDefault="001951F2" w:rsidP="0080082E">
      <w:pPr>
        <w:spacing w:after="0" w:line="240" w:lineRule="auto"/>
      </w:pPr>
      <w:r>
        <w:separator/>
      </w:r>
    </w:p>
  </w:footnote>
  <w:footnote w:type="continuationSeparator" w:id="0">
    <w:p w14:paraId="2E1C78E7" w14:textId="77777777" w:rsidR="001951F2" w:rsidRDefault="001951F2" w:rsidP="00800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EFE9C" w14:textId="77777777" w:rsidR="0080082E" w:rsidRDefault="002151E5">
    <w:pPr>
      <w:pStyle w:val="Intestazione"/>
    </w:pPr>
    <w:r>
      <w:rPr>
        <w:noProof/>
      </w:rPr>
      <w:drawing>
        <wp:inline distT="0" distB="0" distL="0" distR="0" wp14:anchorId="66D56809" wp14:editId="240508BF">
          <wp:extent cx="3026410" cy="808990"/>
          <wp:effectExtent l="0" t="0" r="2540" b="0"/>
          <wp:docPr id="957334258" name="Immagine 9573342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1924"/>
                  <a:stretch>
                    <a:fillRect/>
                  </a:stretch>
                </pic:blipFill>
                <pic:spPr bwMode="auto">
                  <a:xfrm>
                    <a:off x="0" y="0"/>
                    <a:ext cx="3026410" cy="80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001F"/>
    <w:multiLevelType w:val="hybridMultilevel"/>
    <w:tmpl w:val="CE3442C0"/>
    <w:lvl w:ilvl="0" w:tplc="08ECAF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B2ABE"/>
    <w:multiLevelType w:val="hybridMultilevel"/>
    <w:tmpl w:val="EDBE3A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E56D9"/>
    <w:multiLevelType w:val="hybridMultilevel"/>
    <w:tmpl w:val="077EE2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E1DEC"/>
    <w:multiLevelType w:val="hybridMultilevel"/>
    <w:tmpl w:val="D084FE8A"/>
    <w:lvl w:ilvl="0" w:tplc="ADBA3B3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04766"/>
    <w:multiLevelType w:val="hybridMultilevel"/>
    <w:tmpl w:val="C17C2E92"/>
    <w:lvl w:ilvl="0" w:tplc="ADBA3B36">
      <w:start w:val="2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7E277B"/>
    <w:multiLevelType w:val="hybridMultilevel"/>
    <w:tmpl w:val="D4E86992"/>
    <w:lvl w:ilvl="0" w:tplc="591842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851595"/>
    <w:multiLevelType w:val="hybridMultilevel"/>
    <w:tmpl w:val="04F0A8D8"/>
    <w:lvl w:ilvl="0" w:tplc="DEDE8C4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A43D3"/>
    <w:multiLevelType w:val="hybridMultilevel"/>
    <w:tmpl w:val="632039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465371">
    <w:abstractNumId w:val="5"/>
  </w:num>
  <w:num w:numId="2" w16cid:durableId="896747720">
    <w:abstractNumId w:val="3"/>
  </w:num>
  <w:num w:numId="3" w16cid:durableId="1499231281">
    <w:abstractNumId w:val="0"/>
  </w:num>
  <w:num w:numId="4" w16cid:durableId="1671517874">
    <w:abstractNumId w:val="0"/>
  </w:num>
  <w:num w:numId="5" w16cid:durableId="660356262">
    <w:abstractNumId w:val="2"/>
  </w:num>
  <w:num w:numId="6" w16cid:durableId="1622765135">
    <w:abstractNumId w:val="6"/>
  </w:num>
  <w:num w:numId="7" w16cid:durableId="567810353">
    <w:abstractNumId w:val="4"/>
  </w:num>
  <w:num w:numId="8" w16cid:durableId="468287146">
    <w:abstractNumId w:val="7"/>
  </w:num>
  <w:num w:numId="9" w16cid:durableId="51315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A85"/>
    <w:rsid w:val="0007464C"/>
    <w:rsid w:val="000E7C63"/>
    <w:rsid w:val="0010183F"/>
    <w:rsid w:val="001161F3"/>
    <w:rsid w:val="00120A8C"/>
    <w:rsid w:val="00152767"/>
    <w:rsid w:val="001951F2"/>
    <w:rsid w:val="001D4F06"/>
    <w:rsid w:val="002151E5"/>
    <w:rsid w:val="002321A9"/>
    <w:rsid w:val="00252C0D"/>
    <w:rsid w:val="00255219"/>
    <w:rsid w:val="00274265"/>
    <w:rsid w:val="002A0312"/>
    <w:rsid w:val="002D6C89"/>
    <w:rsid w:val="00311B08"/>
    <w:rsid w:val="00320A4D"/>
    <w:rsid w:val="00322FC8"/>
    <w:rsid w:val="003C28BE"/>
    <w:rsid w:val="003E7AE3"/>
    <w:rsid w:val="003F6156"/>
    <w:rsid w:val="004907EA"/>
    <w:rsid w:val="004C0BF9"/>
    <w:rsid w:val="004D6C33"/>
    <w:rsid w:val="005036A4"/>
    <w:rsid w:val="005B423B"/>
    <w:rsid w:val="005E1A85"/>
    <w:rsid w:val="00631169"/>
    <w:rsid w:val="00654931"/>
    <w:rsid w:val="00681FEC"/>
    <w:rsid w:val="00684D0F"/>
    <w:rsid w:val="0071263A"/>
    <w:rsid w:val="007326D2"/>
    <w:rsid w:val="007E54CD"/>
    <w:rsid w:val="0080082E"/>
    <w:rsid w:val="00817B6D"/>
    <w:rsid w:val="00820575"/>
    <w:rsid w:val="008E056A"/>
    <w:rsid w:val="00933334"/>
    <w:rsid w:val="00966233"/>
    <w:rsid w:val="009844C2"/>
    <w:rsid w:val="009A3D97"/>
    <w:rsid w:val="009E4E33"/>
    <w:rsid w:val="00A05656"/>
    <w:rsid w:val="00A06D64"/>
    <w:rsid w:val="00A6575D"/>
    <w:rsid w:val="00A77A6F"/>
    <w:rsid w:val="00AB4138"/>
    <w:rsid w:val="00AE5E44"/>
    <w:rsid w:val="00AF1D1C"/>
    <w:rsid w:val="00B03745"/>
    <w:rsid w:val="00B13135"/>
    <w:rsid w:val="00B87F3F"/>
    <w:rsid w:val="00C13760"/>
    <w:rsid w:val="00C44E28"/>
    <w:rsid w:val="00DE671C"/>
    <w:rsid w:val="00E21BE8"/>
    <w:rsid w:val="00E53EC6"/>
    <w:rsid w:val="00E87EF4"/>
    <w:rsid w:val="00EA2D9B"/>
    <w:rsid w:val="00EC41C8"/>
    <w:rsid w:val="00EE3269"/>
    <w:rsid w:val="00F236A8"/>
    <w:rsid w:val="00FB0526"/>
    <w:rsid w:val="00FE2A60"/>
    <w:rsid w:val="00FF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4A9F6"/>
  <w15:chartTrackingRefBased/>
  <w15:docId w15:val="{8E9943D9-A172-42C5-BCD0-F41B3348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7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008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082E"/>
  </w:style>
  <w:style w:type="paragraph" w:styleId="Pidipagina">
    <w:name w:val="footer"/>
    <w:basedOn w:val="Normale"/>
    <w:link w:val="PidipaginaCarattere"/>
    <w:uiPriority w:val="99"/>
    <w:unhideWhenUsed/>
    <w:rsid w:val="008008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082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7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7F3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87EF4"/>
    <w:pPr>
      <w:ind w:left="720"/>
      <w:contextualSpacing/>
    </w:pPr>
  </w:style>
  <w:style w:type="paragraph" w:customStyle="1" w:styleId="Default">
    <w:name w:val="Default"/>
    <w:rsid w:val="00A056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D102A-C85C-4B6A-BF7C-B538C9029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Marinacci</dc:creator>
  <cp:keywords/>
  <dc:description/>
  <cp:lastModifiedBy>Giorgio Marinacci</cp:lastModifiedBy>
  <cp:revision>47</cp:revision>
  <cp:lastPrinted>2019-10-11T12:49:00Z</cp:lastPrinted>
  <dcterms:created xsi:type="dcterms:W3CDTF">2018-06-25T14:12:00Z</dcterms:created>
  <dcterms:modified xsi:type="dcterms:W3CDTF">2025-01-09T09:57:00Z</dcterms:modified>
</cp:coreProperties>
</file>